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D60872" w:rsidRDefault="00430919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 w:rsidRPr="00430919">
        <w:rPr>
          <w:rFonts w:eastAsia="黑体" w:hint="eastAsia"/>
          <w:b/>
          <w:sz w:val="28"/>
          <w:szCs w:val="28"/>
        </w:rPr>
        <w:t>新建铁路杭州萧山机场站枢纽及接线工程</w:t>
      </w:r>
      <w:r w:rsidR="00D957A7">
        <w:rPr>
          <w:rFonts w:eastAsia="黑体" w:hint="eastAsia"/>
          <w:b/>
          <w:sz w:val="28"/>
          <w:szCs w:val="28"/>
        </w:rPr>
        <w:t>海宁观潮</w:t>
      </w:r>
      <w:r w:rsidRPr="00430919">
        <w:rPr>
          <w:rFonts w:eastAsia="黑体" w:hint="eastAsia"/>
          <w:b/>
          <w:sz w:val="28"/>
          <w:szCs w:val="28"/>
        </w:rPr>
        <w:t>客运枢纽</w:t>
      </w:r>
    </w:p>
    <w:p w:rsidR="009418E8" w:rsidRDefault="009418E8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3B3842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补充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</w:t>
      </w:r>
      <w:r w:rsidR="00707514">
        <w:rPr>
          <w:rFonts w:eastAsia="黑体" w:hint="eastAsia"/>
          <w:sz w:val="28"/>
          <w:szCs w:val="28"/>
        </w:rPr>
        <w:t>2</w:t>
      </w:r>
      <w:r w:rsidR="00C9575E">
        <w:rPr>
          <w:rFonts w:eastAsia="黑体" w:hint="eastAsia"/>
          <w:sz w:val="28"/>
          <w:szCs w:val="28"/>
        </w:rPr>
        <w:t>年</w:t>
      </w:r>
      <w:r w:rsidR="00D957A7">
        <w:rPr>
          <w:rFonts w:eastAsia="黑体" w:hint="eastAsia"/>
          <w:sz w:val="28"/>
          <w:szCs w:val="28"/>
        </w:rPr>
        <w:t>5</w:t>
      </w:r>
      <w:r>
        <w:rPr>
          <w:rFonts w:eastAsia="黑体" w:hint="eastAsia"/>
          <w:sz w:val="28"/>
          <w:szCs w:val="28"/>
        </w:rPr>
        <w:t>月</w:t>
      </w:r>
      <w:r w:rsidR="00D957A7">
        <w:rPr>
          <w:rFonts w:eastAsia="黑体" w:hint="eastAsia"/>
          <w:sz w:val="28"/>
          <w:szCs w:val="28"/>
        </w:rPr>
        <w:t>10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765EA7">
        <w:rPr>
          <w:rFonts w:eastAsia="黑体" w:hint="eastAsia"/>
          <w:sz w:val="28"/>
          <w:szCs w:val="28"/>
        </w:rPr>
        <w:t>92324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430919" w:rsidRPr="00430919">
        <w:rPr>
          <w:rFonts w:ascii="黑体" w:eastAsia="黑体" w:hAnsi="宋体" w:hint="eastAsia"/>
          <w:sz w:val="28"/>
          <w:szCs w:val="28"/>
        </w:rPr>
        <w:t>铁路杭州萧山机场站枢纽及接线工程</w:t>
      </w:r>
      <w:r w:rsidR="00D957A7">
        <w:rPr>
          <w:rFonts w:ascii="黑体" w:eastAsia="黑体" w:hAnsi="宋体" w:hint="eastAsia"/>
          <w:sz w:val="28"/>
          <w:szCs w:val="28"/>
        </w:rPr>
        <w:t>海宁观潮</w:t>
      </w:r>
      <w:r w:rsidR="00430919" w:rsidRPr="00430919">
        <w:rPr>
          <w:rFonts w:ascii="黑体" w:eastAsia="黑体" w:hAnsi="宋体" w:hint="eastAsia"/>
          <w:sz w:val="28"/>
          <w:szCs w:val="28"/>
        </w:rPr>
        <w:t>客运枢纽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3B3842">
        <w:rPr>
          <w:rFonts w:ascii="黑体" w:eastAsia="黑体" w:hAnsi="宋体" w:hint="eastAsia"/>
          <w:sz w:val="28"/>
          <w:szCs w:val="28"/>
        </w:rPr>
        <w:t>补充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3B5F44">
        <w:rPr>
          <w:rFonts w:eastAsia="黑体" w:hint="eastAsia"/>
          <w:sz w:val="28"/>
          <w:szCs w:val="28"/>
        </w:rPr>
        <w:t>2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1C7320" w:rsidRPr="001C7320" w:rsidRDefault="001C7320" w:rsidP="001C7320">
      <w:pPr>
        <w:spacing w:line="580" w:lineRule="exact"/>
        <w:ind w:firstLine="640"/>
        <w:rPr>
          <w:rFonts w:asciiTheme="minorEastAsia" w:eastAsiaTheme="minorEastAsia" w:hAnsiTheme="minorEastAsia" w:cs="仿宋_GB2312"/>
          <w:sz w:val="24"/>
        </w:rPr>
      </w:pPr>
      <w:r w:rsidRPr="001C7320">
        <w:rPr>
          <w:rFonts w:asciiTheme="minorEastAsia" w:eastAsiaTheme="minorEastAsia" w:hAnsiTheme="minorEastAsia" w:cs="仿宋_GB2312" w:hint="eastAsia"/>
          <w:sz w:val="24"/>
        </w:rPr>
        <w:lastRenderedPageBreak/>
        <w:t>4月29日杭州机场高铁有限公司组织入围联合体召开线上答疑会。现针对方案征集中需重点关注的共性问题和关键要点提出以下建议，请各</w:t>
      </w:r>
      <w:r>
        <w:rPr>
          <w:rFonts w:asciiTheme="minorEastAsia" w:eastAsiaTheme="minorEastAsia" w:hAnsiTheme="minorEastAsia" w:cs="仿宋_GB2312" w:hint="eastAsia"/>
          <w:sz w:val="24"/>
        </w:rPr>
        <w:t>应征人</w:t>
      </w:r>
      <w:r w:rsidRPr="001C7320">
        <w:rPr>
          <w:rFonts w:asciiTheme="minorEastAsia" w:eastAsiaTheme="minorEastAsia" w:hAnsiTheme="minorEastAsia" w:cs="仿宋_GB2312" w:hint="eastAsia"/>
          <w:sz w:val="24"/>
        </w:rPr>
        <w:t>在成果深化中予以重点研究，并认真加以落实。</w:t>
      </w:r>
    </w:p>
    <w:p w:rsidR="001C7320" w:rsidRPr="001C7320" w:rsidRDefault="001C7320" w:rsidP="001C7320">
      <w:pPr>
        <w:spacing w:line="580" w:lineRule="exact"/>
        <w:ind w:firstLine="640"/>
        <w:rPr>
          <w:rFonts w:asciiTheme="minorEastAsia" w:eastAsiaTheme="minorEastAsia" w:hAnsiTheme="minorEastAsia"/>
          <w:sz w:val="24"/>
        </w:rPr>
      </w:pPr>
      <w:r w:rsidRPr="001C7320">
        <w:rPr>
          <w:rFonts w:asciiTheme="minorEastAsia" w:eastAsiaTheme="minorEastAsia" w:hAnsiTheme="minorEastAsia" w:cs="仿宋_GB2312" w:hint="eastAsia"/>
          <w:sz w:val="24"/>
        </w:rPr>
        <w:t>1</w:t>
      </w:r>
      <w:r w:rsidRPr="001C7320">
        <w:rPr>
          <w:rFonts w:asciiTheme="minorEastAsia" w:eastAsiaTheme="minorEastAsia" w:hAnsiTheme="minorEastAsia" w:cs="仿宋_GB2312"/>
          <w:sz w:val="24"/>
        </w:rPr>
        <w:t>.</w:t>
      </w:r>
      <w:r w:rsidRPr="001C7320">
        <w:rPr>
          <w:rFonts w:asciiTheme="minorEastAsia" w:eastAsiaTheme="minorEastAsia" w:hAnsiTheme="minorEastAsia" w:hint="eastAsia"/>
          <w:sz w:val="24"/>
        </w:rPr>
        <w:t xml:space="preserve"> </w:t>
      </w:r>
      <w:r w:rsidRPr="001C7320">
        <w:rPr>
          <w:rFonts w:asciiTheme="minorEastAsia" w:eastAsiaTheme="minorEastAsia" w:hAnsiTheme="minorEastAsia" w:cs="仿宋_GB2312" w:hint="eastAsia"/>
          <w:sz w:val="24"/>
        </w:rPr>
        <w:t>建筑形态和主要空间形态设计以功能使用为前提，避免采用与功能需求无关的繁琐装饰，并充分考虑造价因素。整体城市形象要充分展现西侧主界面效果，并要适当考虑预留城际场未实施前的东立面效果。预留城际场仅作为设计影响因素。</w:t>
      </w:r>
    </w:p>
    <w:p w:rsidR="001C7320" w:rsidRPr="001C7320" w:rsidRDefault="001C7320" w:rsidP="001C7320">
      <w:pPr>
        <w:spacing w:line="580" w:lineRule="exact"/>
        <w:ind w:firstLine="640"/>
        <w:rPr>
          <w:rFonts w:asciiTheme="minorEastAsia" w:eastAsiaTheme="minorEastAsia" w:hAnsiTheme="minorEastAsia" w:cs="仿宋_GB2312"/>
          <w:sz w:val="24"/>
        </w:rPr>
      </w:pPr>
      <w:r w:rsidRPr="001C7320">
        <w:rPr>
          <w:rFonts w:asciiTheme="minorEastAsia" w:eastAsiaTheme="minorEastAsia" w:hAnsiTheme="minorEastAsia" w:cs="仿宋_GB2312"/>
          <w:sz w:val="24"/>
        </w:rPr>
        <w:t>2.</w:t>
      </w:r>
      <w:r w:rsidRPr="001C7320">
        <w:rPr>
          <w:rFonts w:asciiTheme="minorEastAsia" w:eastAsiaTheme="minorEastAsia" w:hAnsiTheme="minorEastAsia" w:cs="仿宋_GB2312" w:hint="eastAsia"/>
          <w:sz w:val="24"/>
        </w:rPr>
        <w:t>原则上不对《海宁市周王庙镇核心区块控制性详细规划》做大的调整。结合自身方案如有必要调整，需充分说明理由。</w:t>
      </w:r>
    </w:p>
    <w:p w:rsidR="001C7320" w:rsidRPr="001C7320" w:rsidRDefault="001C7320" w:rsidP="001C7320">
      <w:pPr>
        <w:spacing w:line="580" w:lineRule="exact"/>
        <w:ind w:firstLine="640"/>
        <w:rPr>
          <w:rFonts w:asciiTheme="minorEastAsia" w:eastAsiaTheme="minorEastAsia" w:hAnsiTheme="minorEastAsia" w:cs="仿宋_GB2312"/>
          <w:sz w:val="24"/>
        </w:rPr>
      </w:pPr>
      <w:r w:rsidRPr="001C7320">
        <w:rPr>
          <w:rFonts w:asciiTheme="minorEastAsia" w:eastAsiaTheme="minorEastAsia" w:hAnsiTheme="minorEastAsia" w:cs="仿宋_GB2312"/>
          <w:sz w:val="24"/>
        </w:rPr>
        <w:t>3</w:t>
      </w:r>
      <w:r w:rsidRPr="001C7320">
        <w:rPr>
          <w:rFonts w:asciiTheme="minorEastAsia" w:eastAsiaTheme="minorEastAsia" w:hAnsiTheme="minorEastAsia" w:cs="仿宋_GB2312" w:hint="eastAsia"/>
          <w:sz w:val="24"/>
        </w:rPr>
        <w:t>.杭海城际铁路目前已开通运营，且已预留周王庙东站相关结构条件，从工程实施和铁路运营等角度考虑，在符合技术规范的前提下，可进行适当微调。同时应充分考虑在线路安全保护区范围内施工的可能性，并做好相关安全评估工作</w:t>
      </w:r>
      <w:bookmarkStart w:id="0" w:name="_GoBack"/>
      <w:bookmarkEnd w:id="0"/>
      <w:r w:rsidRPr="001C7320">
        <w:rPr>
          <w:rFonts w:asciiTheme="minorEastAsia" w:eastAsiaTheme="minorEastAsia" w:hAnsiTheme="minorEastAsia" w:cs="仿宋_GB2312" w:hint="eastAsia"/>
          <w:sz w:val="24"/>
        </w:rPr>
        <w:t>。周王庙东站与海宁</w:t>
      </w:r>
      <w:proofErr w:type="gramStart"/>
      <w:r w:rsidRPr="001C7320">
        <w:rPr>
          <w:rFonts w:asciiTheme="minorEastAsia" w:eastAsiaTheme="minorEastAsia" w:hAnsiTheme="minorEastAsia" w:cs="仿宋_GB2312" w:hint="eastAsia"/>
          <w:sz w:val="24"/>
        </w:rPr>
        <w:t>观潮站</w:t>
      </w:r>
      <w:proofErr w:type="gramEnd"/>
      <w:r w:rsidRPr="001C7320">
        <w:rPr>
          <w:rFonts w:asciiTheme="minorEastAsia" w:eastAsiaTheme="minorEastAsia" w:hAnsiTheme="minorEastAsia" w:cs="仿宋_GB2312" w:hint="eastAsia"/>
          <w:sz w:val="24"/>
        </w:rPr>
        <w:t>应设置快速换乘通道，满足换乘无缝衔接及交通组织需求。</w:t>
      </w:r>
    </w:p>
    <w:p w:rsidR="001C7320" w:rsidRPr="001C7320" w:rsidRDefault="001C7320" w:rsidP="001C7320">
      <w:pPr>
        <w:spacing w:line="580" w:lineRule="exact"/>
        <w:ind w:firstLine="640"/>
        <w:rPr>
          <w:rFonts w:asciiTheme="minorEastAsia" w:eastAsiaTheme="minorEastAsia" w:hAnsiTheme="minorEastAsia" w:cs="仿宋_GB2312"/>
          <w:sz w:val="24"/>
        </w:rPr>
      </w:pPr>
      <w:r w:rsidRPr="001C7320">
        <w:rPr>
          <w:rFonts w:asciiTheme="minorEastAsia" w:eastAsiaTheme="minorEastAsia" w:hAnsiTheme="minorEastAsia" w:cs="仿宋_GB2312"/>
          <w:sz w:val="24"/>
        </w:rPr>
        <w:t>4</w:t>
      </w:r>
      <w:r w:rsidRPr="001C7320">
        <w:rPr>
          <w:rFonts w:asciiTheme="minorEastAsia" w:eastAsiaTheme="minorEastAsia" w:hAnsiTheme="minorEastAsia" w:cs="仿宋_GB2312" w:hint="eastAsia"/>
          <w:sz w:val="24"/>
        </w:rPr>
        <w:t>.周王庙东站与海宁</w:t>
      </w:r>
      <w:proofErr w:type="gramStart"/>
      <w:r w:rsidRPr="001C7320">
        <w:rPr>
          <w:rFonts w:asciiTheme="minorEastAsia" w:eastAsiaTheme="minorEastAsia" w:hAnsiTheme="minorEastAsia" w:cs="仿宋_GB2312" w:hint="eastAsia"/>
          <w:sz w:val="24"/>
        </w:rPr>
        <w:t>观潮站</w:t>
      </w:r>
      <w:proofErr w:type="gramEnd"/>
      <w:r w:rsidRPr="001C7320">
        <w:rPr>
          <w:rFonts w:asciiTheme="minorEastAsia" w:eastAsiaTheme="minorEastAsia" w:hAnsiTheme="minorEastAsia" w:cs="仿宋_GB2312" w:hint="eastAsia"/>
          <w:sz w:val="24"/>
        </w:rPr>
        <w:t>一体化设计，需考虑两站之间安全间距，满足相关技术规范要求。</w:t>
      </w:r>
    </w:p>
    <w:p w:rsidR="001C7320" w:rsidRPr="001C7320" w:rsidRDefault="001C7320" w:rsidP="001C7320">
      <w:pPr>
        <w:spacing w:line="580" w:lineRule="exact"/>
        <w:ind w:firstLine="640"/>
        <w:rPr>
          <w:rFonts w:asciiTheme="minorEastAsia" w:eastAsiaTheme="minorEastAsia" w:hAnsiTheme="minorEastAsia" w:cs="仿宋_GB2312"/>
          <w:sz w:val="24"/>
        </w:rPr>
      </w:pPr>
      <w:r w:rsidRPr="001C7320">
        <w:rPr>
          <w:rFonts w:asciiTheme="minorEastAsia" w:eastAsiaTheme="minorEastAsia" w:hAnsiTheme="minorEastAsia" w:cs="仿宋_GB2312"/>
          <w:sz w:val="24"/>
        </w:rPr>
        <w:t>5</w:t>
      </w:r>
      <w:r w:rsidRPr="001C7320">
        <w:rPr>
          <w:rFonts w:asciiTheme="minorEastAsia" w:eastAsiaTheme="minorEastAsia" w:hAnsiTheme="minorEastAsia" w:cs="仿宋_GB2312" w:hint="eastAsia"/>
          <w:sz w:val="24"/>
        </w:rPr>
        <w:t>.站房综合楼与</w:t>
      </w:r>
      <w:proofErr w:type="gramStart"/>
      <w:r w:rsidRPr="001C7320">
        <w:rPr>
          <w:rFonts w:asciiTheme="minorEastAsia" w:eastAsiaTheme="minorEastAsia" w:hAnsiTheme="minorEastAsia" w:cs="仿宋_GB2312" w:hint="eastAsia"/>
          <w:sz w:val="24"/>
        </w:rPr>
        <w:t>站城综合体</w:t>
      </w:r>
      <w:proofErr w:type="gramEnd"/>
      <w:r w:rsidRPr="001C7320">
        <w:rPr>
          <w:rFonts w:asciiTheme="minorEastAsia" w:eastAsiaTheme="minorEastAsia" w:hAnsiTheme="minorEastAsia" w:cs="仿宋_GB2312" w:hint="eastAsia"/>
          <w:sz w:val="24"/>
        </w:rPr>
        <w:t>一体化设计，同时预留分期实施的条件。</w:t>
      </w:r>
    </w:p>
    <w:p w:rsidR="001C7320" w:rsidRPr="001C7320" w:rsidRDefault="001C7320" w:rsidP="001C7320">
      <w:pPr>
        <w:spacing w:line="580" w:lineRule="exact"/>
        <w:ind w:firstLine="640"/>
        <w:rPr>
          <w:rFonts w:asciiTheme="minorEastAsia" w:eastAsiaTheme="minorEastAsia" w:hAnsiTheme="minorEastAsia" w:cs="仿宋_GB2312"/>
          <w:sz w:val="24"/>
        </w:rPr>
      </w:pPr>
      <w:r w:rsidRPr="001C7320">
        <w:rPr>
          <w:rFonts w:asciiTheme="minorEastAsia" w:eastAsiaTheme="minorEastAsia" w:hAnsiTheme="minorEastAsia" w:cs="仿宋_GB2312"/>
          <w:sz w:val="24"/>
        </w:rPr>
        <w:t>6</w:t>
      </w:r>
      <w:r w:rsidRPr="001C7320">
        <w:rPr>
          <w:rFonts w:asciiTheme="minorEastAsia" w:eastAsiaTheme="minorEastAsia" w:hAnsiTheme="minorEastAsia" w:cs="仿宋_GB2312" w:hint="eastAsia"/>
          <w:sz w:val="24"/>
        </w:rPr>
        <w:t>.应充分结合区位优势，地方产业和文化特色，结合自身方案，研究提出合理的</w:t>
      </w:r>
      <w:proofErr w:type="gramStart"/>
      <w:r w:rsidRPr="001C7320">
        <w:rPr>
          <w:rFonts w:asciiTheme="minorEastAsia" w:eastAsiaTheme="minorEastAsia" w:hAnsiTheme="minorEastAsia" w:cs="仿宋_GB2312" w:hint="eastAsia"/>
          <w:sz w:val="24"/>
        </w:rPr>
        <w:t>站城综合体</w:t>
      </w:r>
      <w:proofErr w:type="gramEnd"/>
      <w:r w:rsidRPr="001C7320">
        <w:rPr>
          <w:rFonts w:asciiTheme="minorEastAsia" w:eastAsiaTheme="minorEastAsia" w:hAnsiTheme="minorEastAsia" w:cs="仿宋_GB2312" w:hint="eastAsia"/>
          <w:sz w:val="24"/>
        </w:rPr>
        <w:t>商业商务、酒店、</w:t>
      </w:r>
      <w:proofErr w:type="gramStart"/>
      <w:r w:rsidRPr="001C7320">
        <w:rPr>
          <w:rFonts w:asciiTheme="minorEastAsia" w:eastAsiaTheme="minorEastAsia" w:hAnsiTheme="minorEastAsia" w:cs="仿宋_GB2312" w:hint="eastAsia"/>
          <w:sz w:val="24"/>
        </w:rPr>
        <w:t>文旅等</w:t>
      </w:r>
      <w:proofErr w:type="gramEnd"/>
      <w:r w:rsidRPr="001C7320">
        <w:rPr>
          <w:rFonts w:asciiTheme="minorEastAsia" w:eastAsiaTheme="minorEastAsia" w:hAnsiTheme="minorEastAsia" w:cs="仿宋_GB2312" w:hint="eastAsia"/>
          <w:sz w:val="24"/>
        </w:rPr>
        <w:t>业</w:t>
      </w:r>
      <w:proofErr w:type="gramStart"/>
      <w:r w:rsidRPr="001C7320">
        <w:rPr>
          <w:rFonts w:asciiTheme="minorEastAsia" w:eastAsiaTheme="minorEastAsia" w:hAnsiTheme="minorEastAsia" w:cs="仿宋_GB2312" w:hint="eastAsia"/>
          <w:sz w:val="24"/>
        </w:rPr>
        <w:t>态功能</w:t>
      </w:r>
      <w:proofErr w:type="gramEnd"/>
      <w:r w:rsidRPr="001C7320">
        <w:rPr>
          <w:rFonts w:asciiTheme="minorEastAsia" w:eastAsiaTheme="minorEastAsia" w:hAnsiTheme="minorEastAsia" w:cs="仿宋_GB2312" w:hint="eastAsia"/>
          <w:sz w:val="24"/>
        </w:rPr>
        <w:t>比例并进行经济效益测算。</w:t>
      </w:r>
    </w:p>
    <w:p w:rsidR="001C7320" w:rsidRPr="001C7320" w:rsidRDefault="001C7320" w:rsidP="001C7320">
      <w:pPr>
        <w:spacing w:line="580" w:lineRule="exact"/>
        <w:ind w:firstLine="640"/>
        <w:rPr>
          <w:rFonts w:asciiTheme="minorEastAsia" w:eastAsiaTheme="minorEastAsia" w:hAnsiTheme="minorEastAsia" w:cs="仿宋_GB2312"/>
          <w:sz w:val="24"/>
        </w:rPr>
      </w:pPr>
      <w:r w:rsidRPr="001C7320">
        <w:rPr>
          <w:rFonts w:asciiTheme="minorEastAsia" w:eastAsiaTheme="minorEastAsia" w:hAnsiTheme="minorEastAsia" w:cs="仿宋_GB2312"/>
          <w:sz w:val="24"/>
        </w:rPr>
        <w:t>7</w:t>
      </w:r>
      <w:r w:rsidRPr="001C7320">
        <w:rPr>
          <w:rFonts w:asciiTheme="minorEastAsia" w:eastAsiaTheme="minorEastAsia" w:hAnsiTheme="minorEastAsia" w:cs="仿宋_GB2312" w:hint="eastAsia"/>
          <w:sz w:val="24"/>
        </w:rPr>
        <w:t>.任务书中“居住功能”用地性质为R类住宅，应充分考虑住宅与周边商业商务的业态联动，合理落位。住宅按照公建化外立面设计。</w:t>
      </w:r>
      <w:r w:rsidRPr="001C7320">
        <w:rPr>
          <w:rFonts w:asciiTheme="minorEastAsia" w:eastAsiaTheme="minorEastAsia" w:hAnsiTheme="minorEastAsia" w:cs="仿宋_GB2312"/>
          <w:sz w:val="24"/>
        </w:rPr>
        <w:t xml:space="preserve"> </w:t>
      </w:r>
    </w:p>
    <w:p w:rsidR="001C7320" w:rsidRPr="001C7320" w:rsidRDefault="001C7320" w:rsidP="001C7320">
      <w:pPr>
        <w:snapToGrid w:val="0"/>
        <w:spacing w:line="580" w:lineRule="exact"/>
        <w:ind w:firstLine="640"/>
        <w:rPr>
          <w:rFonts w:asciiTheme="minorEastAsia" w:eastAsiaTheme="minorEastAsia" w:hAnsiTheme="minorEastAsia" w:cs="仿宋_GB2312"/>
          <w:sz w:val="24"/>
        </w:rPr>
      </w:pPr>
      <w:r w:rsidRPr="001C7320">
        <w:rPr>
          <w:rFonts w:asciiTheme="minorEastAsia" w:eastAsiaTheme="minorEastAsia" w:hAnsiTheme="minorEastAsia" w:cs="仿宋_GB2312"/>
          <w:sz w:val="24"/>
        </w:rPr>
        <w:t>8</w:t>
      </w:r>
      <w:r w:rsidRPr="001C7320">
        <w:rPr>
          <w:rFonts w:asciiTheme="minorEastAsia" w:eastAsiaTheme="minorEastAsia" w:hAnsiTheme="minorEastAsia" w:cs="仿宋_GB2312" w:hint="eastAsia"/>
          <w:sz w:val="24"/>
        </w:rPr>
        <w:t>.长途客运场站建议与公交场站一体化布设。为便于出站旅客的快速换乘，应根据</w:t>
      </w:r>
      <w:proofErr w:type="gramStart"/>
      <w:r w:rsidRPr="001C7320">
        <w:rPr>
          <w:rFonts w:asciiTheme="minorEastAsia" w:eastAsiaTheme="minorEastAsia" w:hAnsiTheme="minorEastAsia" w:cs="仿宋_GB2312" w:hint="eastAsia"/>
          <w:sz w:val="24"/>
        </w:rPr>
        <w:t>蓄车时长合理</w:t>
      </w:r>
      <w:proofErr w:type="gramEnd"/>
      <w:r w:rsidRPr="001C7320">
        <w:rPr>
          <w:rFonts w:asciiTheme="minorEastAsia" w:eastAsiaTheme="minorEastAsia" w:hAnsiTheme="minorEastAsia" w:cs="仿宋_GB2312" w:hint="eastAsia"/>
          <w:sz w:val="24"/>
        </w:rPr>
        <w:t>布局不同功能停车场位置。</w:t>
      </w:r>
      <w:r w:rsidRPr="001C7320">
        <w:rPr>
          <w:rFonts w:asciiTheme="minorEastAsia" w:eastAsiaTheme="minorEastAsia" w:hAnsiTheme="minorEastAsia" w:cs="仿宋_GB2312"/>
          <w:sz w:val="24"/>
        </w:rPr>
        <w:t xml:space="preserve"> </w:t>
      </w:r>
    </w:p>
    <w:p w:rsidR="001C7320" w:rsidRPr="001C7320" w:rsidRDefault="001C7320" w:rsidP="001C7320">
      <w:pPr>
        <w:snapToGrid w:val="0"/>
        <w:spacing w:line="580" w:lineRule="exact"/>
        <w:ind w:firstLine="640"/>
        <w:rPr>
          <w:rFonts w:asciiTheme="minorEastAsia" w:eastAsiaTheme="minorEastAsia" w:hAnsiTheme="minorEastAsia" w:cs="仿宋_GB2312"/>
          <w:sz w:val="24"/>
        </w:rPr>
      </w:pPr>
      <w:r w:rsidRPr="001C7320">
        <w:rPr>
          <w:rFonts w:asciiTheme="minorEastAsia" w:eastAsiaTheme="minorEastAsia" w:hAnsiTheme="minorEastAsia" w:cs="仿宋_GB2312"/>
          <w:sz w:val="24"/>
        </w:rPr>
        <w:t>9</w:t>
      </w:r>
      <w:r w:rsidRPr="001C7320">
        <w:rPr>
          <w:rFonts w:asciiTheme="minorEastAsia" w:eastAsiaTheme="minorEastAsia" w:hAnsiTheme="minorEastAsia" w:cs="仿宋_GB2312" w:hint="eastAsia"/>
          <w:sz w:val="24"/>
        </w:rPr>
        <w:t>.应征设计文件递交截止时间变更为2022年6月7日16：00。</w:t>
      </w:r>
    </w:p>
    <w:p w:rsidR="001C7320" w:rsidRPr="001C7320" w:rsidRDefault="001C7320" w:rsidP="001C7320">
      <w:pPr>
        <w:snapToGrid w:val="0"/>
        <w:spacing w:line="580" w:lineRule="exact"/>
        <w:ind w:firstLine="640"/>
        <w:rPr>
          <w:rFonts w:asciiTheme="minorEastAsia" w:eastAsiaTheme="minorEastAsia" w:hAnsiTheme="minorEastAsia" w:cs="仿宋_GB2312"/>
          <w:sz w:val="24"/>
        </w:rPr>
      </w:pPr>
    </w:p>
    <w:p w:rsidR="001C7320" w:rsidRPr="001C7320" w:rsidRDefault="001C7320" w:rsidP="001C7320">
      <w:pPr>
        <w:pStyle w:val="a6"/>
        <w:spacing w:line="58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</w:p>
    <w:p w:rsidR="001C7320" w:rsidRPr="001C7320" w:rsidRDefault="001C7320" w:rsidP="001C7320">
      <w:pPr>
        <w:pStyle w:val="a6"/>
        <w:spacing w:line="58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C7320">
        <w:rPr>
          <w:rFonts w:asciiTheme="minorEastAsia" w:eastAsiaTheme="minorEastAsia" w:hAnsiTheme="minorEastAsia" w:hint="eastAsia"/>
          <w:sz w:val="24"/>
          <w:szCs w:val="24"/>
        </w:rPr>
        <w:lastRenderedPageBreak/>
        <w:t>补充提供</w:t>
      </w:r>
    </w:p>
    <w:p w:rsidR="001C7320" w:rsidRPr="001C7320" w:rsidRDefault="001C7320" w:rsidP="001C7320">
      <w:pPr>
        <w:pStyle w:val="a6"/>
        <w:spacing w:line="58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C7320">
        <w:rPr>
          <w:rFonts w:asciiTheme="minorEastAsia" w:eastAsiaTheme="minorEastAsia" w:hAnsiTheme="minorEastAsia" w:hint="eastAsia"/>
          <w:sz w:val="24"/>
          <w:szCs w:val="24"/>
        </w:rPr>
        <w:t>1.杭州至海宁城</w:t>
      </w:r>
      <w:proofErr w:type="gramStart"/>
      <w:r w:rsidRPr="001C7320">
        <w:rPr>
          <w:rFonts w:asciiTheme="minorEastAsia" w:eastAsiaTheme="minorEastAsia" w:hAnsiTheme="minorEastAsia" w:hint="eastAsia"/>
          <w:sz w:val="24"/>
          <w:szCs w:val="24"/>
        </w:rPr>
        <w:t>际铁路</w:t>
      </w:r>
      <w:proofErr w:type="gramEnd"/>
      <w:r w:rsidRPr="001C7320">
        <w:rPr>
          <w:rFonts w:asciiTheme="minorEastAsia" w:eastAsiaTheme="minorEastAsia" w:hAnsiTheme="minorEastAsia" w:hint="eastAsia"/>
          <w:sz w:val="24"/>
          <w:szCs w:val="24"/>
        </w:rPr>
        <w:t>客流预测报告</w:t>
      </w:r>
    </w:p>
    <w:p w:rsidR="001C7320" w:rsidRPr="001C7320" w:rsidRDefault="001C7320" w:rsidP="001C7320">
      <w:pPr>
        <w:pStyle w:val="a6"/>
        <w:spacing w:line="58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C7320">
        <w:rPr>
          <w:rFonts w:asciiTheme="minorEastAsia" w:eastAsiaTheme="minorEastAsia" w:hAnsiTheme="minorEastAsia" w:hint="eastAsia"/>
          <w:sz w:val="24"/>
          <w:szCs w:val="24"/>
        </w:rPr>
        <w:t>2.海宁盐官省级旅游区总体规划</w:t>
      </w:r>
    </w:p>
    <w:p w:rsidR="001C7320" w:rsidRPr="001C7320" w:rsidRDefault="001C7320" w:rsidP="001C7320">
      <w:pPr>
        <w:pStyle w:val="a6"/>
        <w:spacing w:line="580" w:lineRule="exact"/>
        <w:ind w:firstLine="480"/>
        <w:rPr>
          <w:rFonts w:asciiTheme="minorEastAsia" w:eastAsiaTheme="minorEastAsia" w:hAnsiTheme="minorEastAsia"/>
          <w:sz w:val="24"/>
          <w:szCs w:val="24"/>
        </w:rPr>
      </w:pPr>
      <w:r w:rsidRPr="001C7320">
        <w:rPr>
          <w:rFonts w:asciiTheme="minorEastAsia" w:eastAsiaTheme="minorEastAsia" w:hAnsiTheme="minorEastAsia" w:hint="eastAsia"/>
          <w:sz w:val="24"/>
          <w:szCs w:val="24"/>
        </w:rPr>
        <w:t>3.盐官景区往年客流统计表2张</w:t>
      </w:r>
    </w:p>
    <w:p w:rsidR="001C7320" w:rsidRDefault="001C7320" w:rsidP="001C7320">
      <w:pPr>
        <w:pStyle w:val="a6"/>
        <w:spacing w:line="580" w:lineRule="exact"/>
        <w:rPr>
          <w:szCs w:val="32"/>
        </w:rPr>
      </w:pPr>
    </w:p>
    <w:p w:rsidR="003B5F44" w:rsidRPr="001C7320" w:rsidRDefault="003B5F44" w:rsidP="001C7320">
      <w:pPr>
        <w:spacing w:line="580" w:lineRule="exact"/>
        <w:ind w:firstLine="640"/>
        <w:rPr>
          <w:b/>
          <w:sz w:val="24"/>
        </w:rPr>
      </w:pPr>
    </w:p>
    <w:sectPr w:rsidR="003B5F44" w:rsidRPr="001C7320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5D" w:rsidRDefault="0011625D" w:rsidP="0068361F">
      <w:r>
        <w:separator/>
      </w:r>
    </w:p>
  </w:endnote>
  <w:endnote w:type="continuationSeparator" w:id="0">
    <w:p w:rsidR="0011625D" w:rsidRDefault="0011625D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E145E3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E145E3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320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5D" w:rsidRDefault="0011625D" w:rsidP="0068361F">
      <w:r>
        <w:separator/>
      </w:r>
    </w:p>
  </w:footnote>
  <w:footnote w:type="continuationSeparator" w:id="0">
    <w:p w:rsidR="0011625D" w:rsidRDefault="0011625D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5C67D7"/>
    <w:multiLevelType w:val="hybridMultilevel"/>
    <w:tmpl w:val="E6B0AEEE"/>
    <w:lvl w:ilvl="0" w:tplc="090EE1A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BC7621"/>
    <w:multiLevelType w:val="hybridMultilevel"/>
    <w:tmpl w:val="020CE284"/>
    <w:lvl w:ilvl="0" w:tplc="A84CE846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EE4E16"/>
    <w:multiLevelType w:val="hybridMultilevel"/>
    <w:tmpl w:val="9C061472"/>
    <w:lvl w:ilvl="0" w:tplc="04CC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9459FE"/>
    <w:multiLevelType w:val="hybridMultilevel"/>
    <w:tmpl w:val="000E67D2"/>
    <w:lvl w:ilvl="0" w:tplc="9E9C4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0C34C7"/>
    <w:rsid w:val="00102BBD"/>
    <w:rsid w:val="00102F09"/>
    <w:rsid w:val="001043C2"/>
    <w:rsid w:val="0011625D"/>
    <w:rsid w:val="00123F65"/>
    <w:rsid w:val="00125E49"/>
    <w:rsid w:val="00135B54"/>
    <w:rsid w:val="00136EFD"/>
    <w:rsid w:val="0014511E"/>
    <w:rsid w:val="00155707"/>
    <w:rsid w:val="001658CB"/>
    <w:rsid w:val="001665A0"/>
    <w:rsid w:val="00171869"/>
    <w:rsid w:val="001801D1"/>
    <w:rsid w:val="00184033"/>
    <w:rsid w:val="0019284A"/>
    <w:rsid w:val="001A763D"/>
    <w:rsid w:val="001C1E15"/>
    <w:rsid w:val="001C1F60"/>
    <w:rsid w:val="001C50F7"/>
    <w:rsid w:val="001C6E5C"/>
    <w:rsid w:val="001C7320"/>
    <w:rsid w:val="00202512"/>
    <w:rsid w:val="00203852"/>
    <w:rsid w:val="00207A60"/>
    <w:rsid w:val="00215DB7"/>
    <w:rsid w:val="002252C4"/>
    <w:rsid w:val="00233175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5572C"/>
    <w:rsid w:val="0037370F"/>
    <w:rsid w:val="0038374A"/>
    <w:rsid w:val="00393D48"/>
    <w:rsid w:val="00394090"/>
    <w:rsid w:val="00394AA0"/>
    <w:rsid w:val="003A318D"/>
    <w:rsid w:val="003B3842"/>
    <w:rsid w:val="003B5F44"/>
    <w:rsid w:val="003C4572"/>
    <w:rsid w:val="003C67DD"/>
    <w:rsid w:val="003C7EA3"/>
    <w:rsid w:val="003D0F71"/>
    <w:rsid w:val="003E1BAA"/>
    <w:rsid w:val="003E213D"/>
    <w:rsid w:val="004124EA"/>
    <w:rsid w:val="00427E5D"/>
    <w:rsid w:val="00430919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41D29"/>
    <w:rsid w:val="00581C0E"/>
    <w:rsid w:val="00583826"/>
    <w:rsid w:val="00591F34"/>
    <w:rsid w:val="005A3141"/>
    <w:rsid w:val="005B4D7D"/>
    <w:rsid w:val="005D0745"/>
    <w:rsid w:val="005E4854"/>
    <w:rsid w:val="005F4AEF"/>
    <w:rsid w:val="006503BB"/>
    <w:rsid w:val="00677A5A"/>
    <w:rsid w:val="00677C02"/>
    <w:rsid w:val="0068361F"/>
    <w:rsid w:val="006A2028"/>
    <w:rsid w:val="006A56EC"/>
    <w:rsid w:val="006B0109"/>
    <w:rsid w:val="006D1068"/>
    <w:rsid w:val="006D4A9B"/>
    <w:rsid w:val="006D6B2D"/>
    <w:rsid w:val="006E6FE4"/>
    <w:rsid w:val="006E71A1"/>
    <w:rsid w:val="00707514"/>
    <w:rsid w:val="00712B6B"/>
    <w:rsid w:val="00726C47"/>
    <w:rsid w:val="00741F35"/>
    <w:rsid w:val="00742320"/>
    <w:rsid w:val="007552F8"/>
    <w:rsid w:val="0076510E"/>
    <w:rsid w:val="0076559E"/>
    <w:rsid w:val="00765EA7"/>
    <w:rsid w:val="00766853"/>
    <w:rsid w:val="00775C26"/>
    <w:rsid w:val="00776149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8E4874"/>
    <w:rsid w:val="00906AFE"/>
    <w:rsid w:val="00926DCB"/>
    <w:rsid w:val="009418E8"/>
    <w:rsid w:val="00974093"/>
    <w:rsid w:val="00974548"/>
    <w:rsid w:val="009775B0"/>
    <w:rsid w:val="009A680C"/>
    <w:rsid w:val="009D4EED"/>
    <w:rsid w:val="009E48E5"/>
    <w:rsid w:val="009F5BAA"/>
    <w:rsid w:val="00A03D03"/>
    <w:rsid w:val="00A12DEC"/>
    <w:rsid w:val="00A1511D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AE247A"/>
    <w:rsid w:val="00AF0C27"/>
    <w:rsid w:val="00AF4080"/>
    <w:rsid w:val="00B22A8B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9575E"/>
    <w:rsid w:val="00C9662F"/>
    <w:rsid w:val="00CA2D9E"/>
    <w:rsid w:val="00CA70D8"/>
    <w:rsid w:val="00CD4EAC"/>
    <w:rsid w:val="00CE5C47"/>
    <w:rsid w:val="00D13745"/>
    <w:rsid w:val="00D358B4"/>
    <w:rsid w:val="00D45056"/>
    <w:rsid w:val="00D53600"/>
    <w:rsid w:val="00D60872"/>
    <w:rsid w:val="00D63E7F"/>
    <w:rsid w:val="00D77B43"/>
    <w:rsid w:val="00D957A7"/>
    <w:rsid w:val="00D97BA9"/>
    <w:rsid w:val="00DA0712"/>
    <w:rsid w:val="00DA4CF7"/>
    <w:rsid w:val="00DB3277"/>
    <w:rsid w:val="00DB62F9"/>
    <w:rsid w:val="00DC4C2D"/>
    <w:rsid w:val="00DD7CBF"/>
    <w:rsid w:val="00E01510"/>
    <w:rsid w:val="00E145E3"/>
    <w:rsid w:val="00E30F0A"/>
    <w:rsid w:val="00E41384"/>
    <w:rsid w:val="00E513DE"/>
    <w:rsid w:val="00E657DF"/>
    <w:rsid w:val="00E7239E"/>
    <w:rsid w:val="00E84737"/>
    <w:rsid w:val="00E8665A"/>
    <w:rsid w:val="00E90C3B"/>
    <w:rsid w:val="00E944EF"/>
    <w:rsid w:val="00E95873"/>
    <w:rsid w:val="00E961BD"/>
    <w:rsid w:val="00EB4767"/>
    <w:rsid w:val="00EB73AA"/>
    <w:rsid w:val="00ED1C6F"/>
    <w:rsid w:val="00EF6AA7"/>
    <w:rsid w:val="00F0011B"/>
    <w:rsid w:val="00F155BC"/>
    <w:rsid w:val="00F26C34"/>
    <w:rsid w:val="00F37EFE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semiHidden/>
    <w:unhideWhenUsed/>
    <w:rsid w:val="00D13745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D13745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13962-07AE-4822-961C-D8EF41CF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Lenovo</cp:lastModifiedBy>
  <cp:revision>6</cp:revision>
  <cp:lastPrinted>2018-08-03T02:13:00Z</cp:lastPrinted>
  <dcterms:created xsi:type="dcterms:W3CDTF">2022-04-21T01:24:00Z</dcterms:created>
  <dcterms:modified xsi:type="dcterms:W3CDTF">2022-05-10T01:11:00Z</dcterms:modified>
</cp:coreProperties>
</file>